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113" w:before="0" w:line="360" w:lineRule="auto"/>
        <w:ind w:left="45" w:right="0" w:firstLine="0"/>
        <w:jc w:val="left"/>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Minuta padrão da AGU para compras, disponível em: </w:t>
      </w:r>
      <w:hyperlink r:id="rId9">
        <w:r w:rsidDel="00000000" w:rsidR="00000000" w:rsidRPr="00000000">
          <w:rPr>
            <w:rFonts w:ascii="Times New Roman" w:cs="Times New Roman" w:eastAsia="Times New Roman" w:hAnsi="Times New Roman"/>
            <w:color w:val="1155cc"/>
            <w:sz w:val="20"/>
            <w:szCs w:val="20"/>
            <w:u w:val="single"/>
            <w:rtl w:val="0"/>
          </w:rPr>
          <w:t xml:space="preserve">https://www.gov.br/agu/pt-br/composicao/cgu/cgu/modelos/licitacoesecontratos/14133/modelos-da-lei-no-14-133-21-para-pregao-e-concorrencia</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2">
      <w:pPr>
        <w:widowControl w:val="0"/>
        <w:spacing w:after="113" w:before="0" w:line="360" w:lineRule="auto"/>
        <w:ind w:left="0" w:righ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3">
      <w:pPr>
        <w:widowControl w:val="0"/>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ATA DE REGISTRO DE PREÇOS XXX/XXXX</w:t>
      </w:r>
      <w:r w:rsidDel="00000000" w:rsidR="00000000" w:rsidRPr="00000000">
        <w:rPr>
          <w:rtl w:val="0"/>
        </w:rPr>
      </w:r>
    </w:p>
    <w:p w:rsidR="00000000" w:rsidDel="00000000" w:rsidP="00000000" w:rsidRDefault="00000000" w:rsidRPr="00000000" w14:paraId="00000004">
      <w:pPr>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PREGÃO ELETRÔNICO N° 28/2023</w:t>
      </w:r>
      <w:r w:rsidDel="00000000" w:rsidR="00000000" w:rsidRPr="00000000">
        <w:rPr>
          <w:rtl w:val="0"/>
        </w:rPr>
      </w:r>
    </w:p>
    <w:p w:rsidR="00000000" w:rsidDel="00000000" w:rsidP="00000000" w:rsidRDefault="00000000" w:rsidRPr="00000000" w14:paraId="00000005">
      <w:pPr>
        <w:widowControl w:val="0"/>
        <w:spacing w:after="113" w:before="0" w:line="360" w:lineRule="auto"/>
        <w:ind w:left="45" w:right="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z w:val="20"/>
          <w:szCs w:val="20"/>
          <w:rtl w:val="0"/>
        </w:rPr>
        <w:t xml:space="preserve">Processo Administrativo N.º </w:t>
      </w:r>
      <w:r w:rsidDel="00000000" w:rsidR="00000000" w:rsidRPr="00000000">
        <w:rPr>
          <w:rFonts w:ascii="Times New Roman" w:cs="Times New Roman" w:eastAsia="Times New Roman" w:hAnsi="Times New Roman"/>
          <w:sz w:val="20"/>
          <w:szCs w:val="20"/>
          <w:rtl w:val="0"/>
        </w:rPr>
        <w:t xml:space="preserve">23422.019194/2023-56</w:t>
      </w:r>
    </w:p>
    <w:p w:rsidR="00000000" w:rsidDel="00000000" w:rsidP="00000000" w:rsidRDefault="00000000" w:rsidRPr="00000000" w14:paraId="00000006">
      <w:pPr>
        <w:widowControl w:val="0"/>
        <w:spacing w:after="113" w:before="0" w:line="360" w:lineRule="auto"/>
        <w:ind w:left="0" w:right="-3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20" w:before="120" w:line="360" w:lineRule="auto"/>
        <w:ind w:left="0" w:right="-28" w:firstLine="1418"/>
        <w:jc w:val="both"/>
        <w:rPr>
          <w:rFonts w:ascii="Times New Roman" w:cs="Times New Roman" w:eastAsia="Times New Roman" w:hAnsi="Times New Roman"/>
          <w:i w:val="0"/>
          <w:smallCaps w:val="0"/>
          <w:strike w:val="0"/>
          <w:sz w:val="20"/>
          <w:szCs w:val="20"/>
          <w:highlight w:val="white"/>
          <w:u w:val="none"/>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Universidade Federal da Integração Latino- Americana (UNILA)</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com sede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na Avenida Tancredo Neves, nº 3.147, Itaipu B</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na cidade de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Foz do Iguaçu, Estado do Paraná, CEP 85.867-000, inscrito(a) no CNPJ/MF sob o nº 11.806.275/0001-33</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neste ato representado(a) pelo(a) ...... (</w:t>
      </w:r>
      <w:r w:rsidDel="00000000" w:rsidR="00000000" w:rsidRPr="00000000">
        <w:rPr>
          <w:rFonts w:ascii="Times New Roman" w:cs="Times New Roman" w:eastAsia="Times New Roman" w:hAnsi="Times New Roman"/>
          <w:i w:val="1"/>
          <w:smallCaps w:val="0"/>
          <w:strike w:val="0"/>
          <w:sz w:val="20"/>
          <w:szCs w:val="20"/>
          <w:u w:val="none"/>
          <w:shd w:fill="auto" w:val="clear"/>
          <w:vertAlign w:val="baseline"/>
          <w:rtl w:val="0"/>
        </w:rPr>
        <w:t xml:space="preserve">cargo e nome</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nomeado(a) pela  Portaria nº ...... de ..... de ...... de 202..., publicada no ....... de ..... de ....... de ....., portador da matrícula funcional nº ...................,, considerando o julgamento da licitação na modalidade de pregão, na forma eletrônica, para REGISTRO DE PREÇOS</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nº </w:t>
      </w:r>
      <w:r w:rsidDel="00000000" w:rsidR="00000000" w:rsidRPr="00000000">
        <w:rPr>
          <w:rFonts w:ascii="Times New Roman" w:cs="Times New Roman" w:eastAsia="Times New Roman" w:hAnsi="Times New Roman"/>
          <w:sz w:val="20"/>
          <w:szCs w:val="20"/>
          <w:highlight w:val="white"/>
          <w:rtl w:val="0"/>
        </w:rPr>
        <w:t xml:space="preserve">28</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publicada no ...... de ...../...../202....., processo administrativo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n.º 23422.0</w:t>
      </w:r>
      <w:r w:rsidDel="00000000" w:rsidR="00000000" w:rsidRPr="00000000">
        <w:rPr>
          <w:rFonts w:ascii="Times New Roman" w:cs="Times New Roman" w:eastAsia="Times New Roman" w:hAnsi="Times New Roman"/>
          <w:sz w:val="20"/>
          <w:szCs w:val="20"/>
          <w:highlight w:val="white"/>
          <w:rtl w:val="0"/>
        </w:rPr>
        <w:t xml:space="preserve">19194</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w:t>
      </w:r>
      <w:r w:rsidDel="00000000" w:rsidR="00000000" w:rsidRPr="00000000">
        <w:rPr>
          <w:rFonts w:ascii="Times New Roman" w:cs="Times New Roman" w:eastAsia="Times New Roman" w:hAnsi="Times New Roman"/>
          <w:sz w:val="20"/>
          <w:szCs w:val="20"/>
          <w:highlight w:val="white"/>
          <w:rtl w:val="0"/>
        </w:rPr>
        <w:t xml:space="preserve">56</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8">
      <w:pPr>
        <w:widowControl w:val="0"/>
        <w:numPr>
          <w:ilvl w:val="0"/>
          <w:numId w:val="2"/>
        </w:numPr>
        <w:spacing w:after="113" w:before="453" w:line="360" w:lineRule="auto"/>
        <w:ind w:left="0" w:right="0" w:firstLine="0"/>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sz w:val="20"/>
          <w:szCs w:val="20"/>
          <w:highlight w:val="white"/>
          <w:rtl w:val="0"/>
        </w:rPr>
        <w:t xml:space="preserve">DO OBJETO</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453" w:before="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A presente Ata tem por objeto o registro de preços para </w:t>
      </w:r>
      <w:r w:rsidDel="00000000" w:rsidR="00000000" w:rsidRPr="00000000">
        <w:rPr>
          <w:rFonts w:ascii="Times New Roman" w:cs="Times New Roman" w:eastAsia="Times New Roman" w:hAnsi="Times New Roman"/>
          <w:sz w:val="20"/>
          <w:szCs w:val="20"/>
          <w:highlight w:val="white"/>
          <w:rtl w:val="0"/>
        </w:rPr>
        <w:t xml:space="preserve">a </w:t>
      </w:r>
      <w:r w:rsidDel="00000000" w:rsidR="00000000" w:rsidRPr="00000000">
        <w:rPr>
          <w:rFonts w:ascii="Times New Roman" w:cs="Times New Roman" w:eastAsia="Times New Roman" w:hAnsi="Times New Roman"/>
          <w:sz w:val="20"/>
          <w:szCs w:val="20"/>
          <w:highlight w:val="white"/>
          <w:rtl w:val="0"/>
        </w:rPr>
        <w:t xml:space="preserve">contratação de serviços de execução de cabeamento estruturado de rede lógica</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especificado(s) no(s) item(ns).......... do .......... Termo de Referência, anexo do edital de Licitação nº </w:t>
      </w:r>
      <w:r w:rsidDel="00000000" w:rsidR="00000000" w:rsidRPr="00000000">
        <w:rPr>
          <w:rFonts w:ascii="Times New Roman" w:cs="Times New Roman" w:eastAsia="Times New Roman" w:hAnsi="Times New Roman"/>
          <w:sz w:val="20"/>
          <w:szCs w:val="20"/>
          <w:highlight w:val="white"/>
          <w:rtl w:val="0"/>
        </w:rPr>
        <w:t xml:space="preserve">28</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/2023, que é</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0A">
      <w:pPr>
        <w:widowControl w:val="0"/>
        <w:numPr>
          <w:ilvl w:val="0"/>
          <w:numId w:val="2"/>
        </w:numPr>
        <w:spacing w:after="113" w:before="453"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0"/>
          <w:szCs w:val="20"/>
          <w:rtl w:val="0"/>
        </w:rPr>
        <w:t xml:space="preserve">DOS PREÇOS, ESPECIFICAÇÕES E QUANTITATIVOS</w:t>
      </w:r>
      <w:r w:rsidDel="00000000" w:rsidR="00000000" w:rsidRPr="00000000">
        <w:rPr>
          <w:rtl w:val="0"/>
        </w:rPr>
      </w:r>
    </w:p>
    <w:p w:rsidR="00000000" w:rsidDel="00000000" w:rsidP="00000000" w:rsidRDefault="00000000" w:rsidRPr="00000000" w14:paraId="0000000B">
      <w:pPr>
        <w:widowControl w:val="0"/>
        <w:numPr>
          <w:ilvl w:val="1"/>
          <w:numId w:val="2"/>
        </w:numPr>
        <w:spacing w:after="113" w:before="0"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0"/>
          <w:szCs w:val="20"/>
          <w:rtl w:val="0"/>
        </w:rPr>
        <w:t xml:space="preserve">O preço registrado, as especificações do objeto e as demais condições ofertadas na(s) proposta(s) são as que seguem: </w:t>
      </w:r>
      <w:r w:rsidDel="00000000" w:rsidR="00000000" w:rsidRPr="00000000">
        <w:rPr>
          <w:rtl w:val="0"/>
        </w:rPr>
      </w:r>
    </w:p>
    <w:p w:rsidR="00000000" w:rsidDel="00000000" w:rsidP="00000000" w:rsidRDefault="00000000" w:rsidRPr="00000000" w14:paraId="0000000C">
      <w:pPr>
        <w:widowControl w:val="0"/>
        <w:spacing w:after="113" w:before="0" w:line="360" w:lineRule="auto"/>
        <w:ind w:left="360" w:right="0" w:firstLine="0"/>
        <w:jc w:val="both"/>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D">
      <w:pPr>
        <w:widowControl w:val="0"/>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color w:val="000000"/>
          <w:sz w:val="20"/>
          <w:szCs w:val="20"/>
        </w:rPr>
      </w:pPr>
      <w:r w:rsidDel="00000000" w:rsidR="00000000" w:rsidRPr="00000000">
        <w:rPr>
          <w:rtl w:val="0"/>
        </w:rPr>
      </w:r>
    </w:p>
    <w:bookmarkStart w:colFirst="0" w:colLast="0" w:name="bookmark=id.gjdgxs" w:id="0"/>
    <w:bookmarkEnd w:id="0"/>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450.0" w:type="dxa"/>
        <w:jc w:val="left"/>
        <w:tblInd w:w="-10.0" w:type="dxa"/>
        <w:tblLayout w:type="fixed"/>
        <w:tblLook w:val="0000"/>
      </w:tblPr>
      <w:tblGrid>
        <w:gridCol w:w="738"/>
        <w:gridCol w:w="2053"/>
        <w:gridCol w:w="1522"/>
        <w:gridCol w:w="900"/>
        <w:gridCol w:w="1312"/>
        <w:gridCol w:w="1925"/>
        <w:tblGridChange w:id="0">
          <w:tblGrid>
            <w:gridCol w:w="738"/>
            <w:gridCol w:w="2053"/>
            <w:gridCol w:w="1522"/>
            <w:gridCol w:w="900"/>
            <w:gridCol w:w="1312"/>
            <w:gridCol w:w="1925"/>
          </w:tblGrid>
        </w:tblGridChange>
      </w:tblGrid>
      <w:tr>
        <w:trPr>
          <w:cantSplit w:val="0"/>
          <w:tblHeader w:val="0"/>
        </w:trPr>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Razão Social / CNPJ:</w:t>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Endereço:</w:t>
            </w:r>
          </w:p>
        </w:tc>
        <w:tc>
          <w:tcPr>
            <w:gridSpan w:val="4"/>
            <w:tcBorders>
              <w:top w:color="000000" w:space="0" w:sz="8"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CEP:</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432"/>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Telefone:</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E-mail:</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Nome do Representante / CPF:</w:t>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Item</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432"/>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Especificação  (Marca e modelo se exigido no edital)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Quant.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Valor Unit.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hanging="576"/>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TOTAL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9">
      <w:pPr>
        <w:widowControl w:val="0"/>
        <w:tabs>
          <w:tab w:val="center" w:leader="none" w:pos="4779"/>
          <w:tab w:val="right" w:leader="none" w:pos="9198"/>
        </w:tabs>
        <w:spacing w:after="113" w:before="0" w:line="360" w:lineRule="auto"/>
        <w:ind w:left="0" w:right="0" w:firstLine="0"/>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A">
      <w:pPr>
        <w:widowControl w:val="0"/>
        <w:numPr>
          <w:ilvl w:val="1"/>
          <w:numId w:val="2"/>
        </w:numPr>
        <w:spacing w:after="113"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6B">
      <w:pPr>
        <w:widowControl w:val="0"/>
        <w:numPr>
          <w:ilvl w:val="0"/>
          <w:numId w:val="2"/>
        </w:numPr>
        <w:spacing w:after="113" w:before="453" w:line="36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0"/>
          <w:szCs w:val="20"/>
          <w:rtl w:val="0"/>
        </w:rPr>
        <w:t xml:space="preserve"> ÓRGÃO(S) GERENCIADOR E PARTICIPANTE(S)</w:t>
      </w:r>
      <w:r w:rsidDel="00000000" w:rsidR="00000000" w:rsidRPr="00000000">
        <w:rPr>
          <w:rtl w:val="0"/>
        </w:rPr>
      </w:r>
    </w:p>
    <w:p w:rsidR="00000000" w:rsidDel="00000000" w:rsidP="00000000" w:rsidRDefault="00000000" w:rsidRPr="00000000" w14:paraId="0000006C">
      <w:pPr>
        <w:widowControl w:val="0"/>
        <w:numPr>
          <w:ilvl w:val="1"/>
          <w:numId w:val="2"/>
        </w:numPr>
        <w:spacing w:after="113"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O órgão gerenciador será o ......(nome do órgão)....</w:t>
      </w:r>
      <w:r w:rsidDel="00000000" w:rsidR="00000000" w:rsidRPr="00000000">
        <w:rPr>
          <w:rtl w:val="0"/>
        </w:rPr>
      </w:r>
    </w:p>
    <w:p w:rsidR="00000000" w:rsidDel="00000000" w:rsidP="00000000" w:rsidRDefault="00000000" w:rsidRPr="00000000" w14:paraId="0000006D">
      <w:pPr>
        <w:widowControl w:val="0"/>
        <w:numPr>
          <w:ilvl w:val="1"/>
          <w:numId w:val="2"/>
        </w:numPr>
        <w:spacing w:after="113" w:line="360" w:lineRule="auto"/>
        <w:ind w:left="1283" w:hanging="430.99999999999966"/>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{Além </w:t>
      </w:r>
      <w:r w:rsidDel="00000000" w:rsidR="00000000" w:rsidRPr="00000000">
        <w:rPr>
          <w:rFonts w:ascii="Times New Roman" w:cs="Times New Roman" w:eastAsia="Times New Roman" w:hAnsi="Times New Roman"/>
          <w:i w:val="1"/>
          <w:sz w:val="20"/>
          <w:szCs w:val="20"/>
          <w:rtl w:val="0"/>
        </w:rPr>
        <w:t xml:space="preserve">do gerenciador, não há [ou] São} órgãos e entidades públicas participantes do registro de preços:</w:t>
      </w:r>
      <w:r w:rsidDel="00000000" w:rsidR="00000000" w:rsidRPr="00000000">
        <w:rPr>
          <w:rtl w:val="0"/>
        </w:rPr>
      </w:r>
    </w:p>
    <w:bookmarkStart w:colFirst="0" w:colLast="0" w:name="bookmark=kix.fky8e2xshdad" w:id="1"/>
    <w:bookmarkEnd w:id="1"/>
    <w:p w:rsidR="00000000" w:rsidDel="00000000" w:rsidP="00000000" w:rsidRDefault="00000000" w:rsidRPr="00000000" w14:paraId="0000006E">
      <w:pPr>
        <w:widowControl w:val="0"/>
        <w:tabs>
          <w:tab w:val="center" w:leader="none" w:pos="4779"/>
          <w:tab w:val="right" w:leader="none" w:pos="9198"/>
        </w:tabs>
        <w:spacing w:after="113" w:line="360" w:lineRule="auto"/>
        <w:jc w:val="both"/>
        <w:rPr>
          <w:rFonts w:ascii="Times New Roman" w:cs="Times New Roman" w:eastAsia="Times New Roman" w:hAnsi="Times New Roman"/>
          <w:b w:val="1"/>
          <w:strike w:val="1"/>
          <w:sz w:val="20"/>
          <w:szCs w:val="20"/>
        </w:rPr>
      </w:pPr>
      <w:r w:rsidDel="00000000" w:rsidR="00000000" w:rsidRPr="00000000">
        <w:rPr>
          <w:rtl w:val="0"/>
        </w:rPr>
      </w:r>
    </w:p>
    <w:tbl>
      <w:tblPr>
        <w:tblStyle w:val="Table2"/>
        <w:tblW w:w="8475.0" w:type="dxa"/>
        <w:jc w:val="left"/>
        <w:tblInd w:w="-10.0" w:type="dxa"/>
        <w:tblLayout w:type="fixed"/>
        <w:tblLook w:val="0000"/>
      </w:tblPr>
      <w:tblGrid>
        <w:gridCol w:w="735"/>
        <w:gridCol w:w="2055"/>
        <w:gridCol w:w="2235"/>
        <w:gridCol w:w="1185"/>
        <w:gridCol w:w="2265"/>
        <w:tblGridChange w:id="0">
          <w:tblGrid>
            <w:gridCol w:w="735"/>
            <w:gridCol w:w="2055"/>
            <w:gridCol w:w="2235"/>
            <w:gridCol w:w="1185"/>
            <w:gridCol w:w="226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widowControl w:val="0"/>
              <w:spacing w:line="3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Item n°</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widowControl w:val="0"/>
              <w:spacing w:line="360" w:lineRule="auto"/>
              <w:ind w:hanging="432"/>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Órgãos Participantes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widowControl w:val="0"/>
              <w:spacing w:line="3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Unidade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widowControl w:val="0"/>
              <w:spacing w:line="36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widowControl w:val="0"/>
              <w:spacing w:line="360" w:lineRule="auto"/>
              <w:jc w:val="both"/>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widowControl w:val="0"/>
              <w:spacing w:line="360" w:lineRule="auto"/>
              <w:jc w:val="both"/>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widowControl w:val="0"/>
              <w:spacing w:line="360" w:lineRule="auto"/>
              <w:jc w:val="both"/>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widowControl w:val="0"/>
              <w:spacing w:line="360" w:lineRule="auto"/>
              <w:jc w:val="center"/>
              <w:rPr>
                <w:rFonts w:ascii="Times New Roman" w:cs="Times New Roman" w:eastAsia="Times New Roman" w:hAnsi="Times New Roman"/>
                <w:strike w:val="1"/>
                <w:sz w:val="20"/>
                <w:szCs w:val="20"/>
              </w:rPr>
            </w:pPr>
            <w:r w:rsidDel="00000000" w:rsidR="00000000" w:rsidRPr="00000000">
              <w:rPr>
                <w:rtl w:val="0"/>
              </w:rPr>
            </w:r>
          </w:p>
        </w:tc>
      </w:tr>
    </w:tbl>
    <w:p w:rsidR="00000000" w:rsidDel="00000000" w:rsidP="00000000" w:rsidRDefault="00000000" w:rsidRPr="00000000" w14:paraId="00000083">
      <w:pPr>
        <w:widowControl w:val="0"/>
        <w:spacing w:after="113" w:line="360" w:lineRule="auto"/>
        <w:ind w:lef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4">
      <w:pPr>
        <w:widowControl w:val="0"/>
        <w:numPr>
          <w:ilvl w:val="0"/>
          <w:numId w:val="2"/>
        </w:numPr>
        <w:spacing w:after="113" w:before="453" w:line="36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0"/>
          <w:szCs w:val="20"/>
          <w:rtl w:val="0"/>
        </w:rPr>
        <w:t xml:space="preserve"> DA ADESÃO DA ATA DE REGISTRO DE PREÇOS</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apresentação de justificativa da vantagem da adesão, inclusive em situações de provável desabastecimento ou descontinuidade de serviço público;</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demonstração de que os valores registrados estão compatíveis com os valores praticados pelo mercado na forma do art. 23 da Lei nº 14.133, de 2021; 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consulta e aceitação prévias do órgão ou da entidade gerenciadora e do fornecedor.</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autorização do órgão ou entidade gerenciadora apenas será realizada após a aceitação da adesão pelo fornecedor.</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Após a autorização do órgão ou da entidade gerenciadora, o órgão ou entidade não participante deverá efetivar a aquisição ou a contratação solicitada em até noventa dias, observado o prazo de vigência da ata.</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órgão ou a entidade poderá aderir a item da ata de registro de preços da qual seja integrante, na qualidade de não participante, para aqueles itens para os quais não tenha quantitativo registrado, observados os requisitos do item 3.1.</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36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Dos limites para as adesões</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3.6.</w:t>
      </w: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adesão à ata de registro de preços por órgãos e entidades da Administração Pública estadual, distrital e municipal poderá ser exigida para fins de transferências voluntárias, não ficando sujeita ao limite de que trata o item 3.6, desde que seja destinada à execução descentralizada de programa ou projeto federal e comprovada a compatibilidade dos preços registrados com os valores praticados no mercado na forma do art. 23 da Lei nº 14.133, de 2021.</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Vedação a acréscimo de quantitativos</w:t>
      </w:r>
    </w:p>
    <w:p w:rsidR="00000000" w:rsidDel="00000000" w:rsidP="00000000" w:rsidRDefault="00000000" w:rsidRPr="00000000" w14:paraId="00000094">
      <w:pPr>
        <w:widowControl w:val="0"/>
        <w:numPr>
          <w:ilvl w:val="1"/>
          <w:numId w:val="2"/>
        </w:numPr>
        <w:spacing w:after="113" w:before="453"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95">
      <w:pPr>
        <w:keepNext w:val="1"/>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7"/>
        </w:tabs>
        <w:spacing w:after="113" w:before="453" w:line="360" w:lineRule="auto"/>
        <w:ind w:left="0" w:right="0" w:firstLine="0"/>
        <w:jc w:val="both"/>
        <w:rPr>
          <w:rFonts w:ascii="Times New Roman" w:cs="Times New Roman" w:eastAsia="Times New Roman" w:hAnsi="Times New Roman"/>
          <w:i w:val="0"/>
          <w:smallCaps w:val="0"/>
          <w:strike w:val="0"/>
          <w:shd w:fill="auto" w:val="clear"/>
          <w:vertAlign w:val="baseline"/>
        </w:rPr>
      </w:pPr>
      <w:r w:rsidDel="00000000" w:rsidR="00000000" w:rsidRPr="00000000">
        <w:rPr>
          <w:rFonts w:ascii="Times New Roman" w:cs="Times New Roman" w:eastAsia="Times New Roman" w:hAnsi="Times New Roman"/>
          <w:b w:val="1"/>
          <w:i w:val="0"/>
          <w:smallCaps w:val="0"/>
          <w:strike w:val="0"/>
          <w:sz w:val="20"/>
          <w:szCs w:val="20"/>
          <w:u w:val="none"/>
          <w:shd w:fill="auto" w:val="clear"/>
          <w:vertAlign w:val="baseline"/>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 validade da Ata de Registro de Preços será de 1 (um) ano, contado a partir do primeiro dia útil subsequente à data de divulgação no PNCP,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 instrumento contratual de que trata o item 5.2. deverá ser assinado no prazo de validade da ata de registro de preços.</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 se obrigar nos limites dela;</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Será incluído na ata, na forma de anexo, o registro dos licitantes ou dos fornecedores que:</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Aceitarem cot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ar os bens, as obras ou os serviços com preços iguais aos do adjudicatário, observada a classificação da licitação; e </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Mantiverem sua proposta original. </w:t>
      </w:r>
      <w:bookmarkStart w:colFirst="0" w:colLast="0" w:name="bookmark=id.30j0zll" w:id="2"/>
      <w:bookmarkEnd w:id="2"/>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registro a que se refere o item 5.4.2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habilitação dos licitantes que comporão o cadastro de reserva a que se refere o item 4.4.2.2 somente será efetuada quando houver necessidade de contratação dos licitantes remanescentes, nas seguintes hipóteses:</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Quando o licitante vencedor não assinar a ata de registro de preços, no prazo e nas condições estabelecidos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e</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Quando houver o cancelamento do registro do licitante ou do registro de preços nas hipóteses previstas no item 8.</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preço registrado com ind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Quando o convocado não assinar a ata de registro de preços no prazo e nas condições estabelecidos no edital ou no aviso de contratação, e observado o disposto no item 4.7, observando o item 4.7 e subitens,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nenhum dos licitantes que trata o item 4.4.2.1, aceitar a contratação nos termos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do item anterior, a Administração, observados o valor estimado e sua eventual atualização nos termos do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edital,</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Convocar para negociação os demais licitantes ou fornecedores remanescentes cujos preços foram registrados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13" w:before="0" w:line="360" w:lineRule="auto"/>
        <w:ind w:left="0"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B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ALTERAÇÃO OU ATUALIZAÇÃO DOS PREÇOS REGISTRADOS</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w:t>
      </w:r>
      <w:sdt>
        <w:sdtPr>
          <w:tag w:val="goog_rdk_0"/>
        </w:sdtPr>
        <w:sdtContent>
          <w:commentRangeStart w:id="0"/>
        </w:sdtContent>
      </w:sdt>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 caso de força maior, caso fortuito ou fato do príncipe ou em decorrência de fatos imprevisíveis ou previsíveis de consequências incalculáveis, que inviabilizem a execução da ata tal como pactuada, nos termos da </w:t>
      </w:r>
      <w:r w:rsidDel="00000000" w:rsidR="00000000" w:rsidRPr="00000000">
        <w:rPr>
          <w:rFonts w:ascii="Times New Roman" w:cs="Times New Roman" w:eastAsia="Times New Roman" w:hAnsi="Times New Roman"/>
          <w:i w:val="0"/>
          <w:smallCaps w:val="0"/>
          <w:strike w:val="0"/>
          <w:color w:val="0000ef"/>
          <w:sz w:val="20"/>
          <w:szCs w:val="20"/>
          <w:u w:val="none"/>
          <w:shd w:fill="auto" w:val="clear"/>
          <w:vertAlign w:val="baseline"/>
          <w:rtl w:val="0"/>
        </w:rPr>
        <w:t xml:space="preserve">alínea “d” do inciso II do caput do art. 124 da Lei nº 14.133, de 2021</w:t>
      </w:r>
      <w:commentRangeEnd w:id="0"/>
      <w:r w:rsidDel="00000000" w:rsidR="00000000" w:rsidRPr="00000000">
        <w:commentReference w:id="0"/>
      </w:r>
      <w:r w:rsidDel="00000000" w:rsidR="00000000" w:rsidRPr="00000000">
        <w:rPr>
          <w:rFonts w:ascii="Times New Roman" w:cs="Times New Roman" w:eastAsia="Times New Roman" w:hAnsi="Times New Roman"/>
          <w:i w:val="0"/>
          <w:smallCaps w:val="0"/>
          <w:strike w:val="0"/>
          <w:color w:val="0000ef"/>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No caso do reajustamento, deverá ser respeitada a contagem da anualidade e o índice previstos para a contratação;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No caso da repactuação, poderá ser a pedido do interessado, conforme critérios definidos para a contratação.</w:t>
      </w:r>
      <w:r w:rsidDel="00000000" w:rsidR="00000000" w:rsidRPr="00000000">
        <w:rPr>
          <w:rtl w:val="0"/>
        </w:rPr>
      </w:r>
    </w:p>
    <w:p w:rsidR="00000000" w:rsidDel="00000000" w:rsidP="00000000" w:rsidRDefault="00000000" w:rsidRPr="00000000" w14:paraId="000000B8">
      <w:pPr>
        <w:widowControl w:val="0"/>
        <w:numPr>
          <w:ilvl w:val="0"/>
          <w:numId w:val="2"/>
        </w:numPr>
        <w:spacing w:after="113" w:before="453" w:line="36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0"/>
          <w:szCs w:val="20"/>
          <w:rtl w:val="0"/>
        </w:rPr>
        <w:t xml:space="preserve"> NEGOCIAÇÃO DE PREÇOS REGISTRADOS</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w:t>
      </w:r>
      <w:sdt>
        <w:sdtPr>
          <w:tag w:val="goog_rdk_1"/>
        </w:sdtPr>
        <w:sdtContent>
          <w:commentRangeStart w:id="1"/>
        </w:sdtContent>
      </w:sdt>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licitantes ou fornecedores que tiveram seu registro cancelado.</w:t>
      </w:r>
      <w:commentRangeEnd w:id="1"/>
      <w:r w:rsidDel="00000000" w:rsidR="00000000" w:rsidRPr="00000000">
        <w:commentReference w:id="1"/>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1fob9te" w:id="3"/>
      <w:bookmarkEnd w:id="3"/>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3znysh7" w:id="4"/>
      <w:bookmarkEnd w:id="4"/>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2et92p0" w:id="5"/>
      <w:bookmarkEnd w:id="5"/>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sem prejuízo das sanções previstas na Lei nº 14.133, de 2021, e na legislação aplicável.</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4.7.</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nos termos do item </w:t>
      </w: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e adotará as medidas cabíveis para a obtenção da contratação mais vantajosa.</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comprovação da majoração do preço de mercado que inviabilize o preço registrado, conforme previsto no item 6.2 e no item 6.2.1, o órgão ou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1497"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 remanejamento somente poderá ser feito:</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 órgão ou entidade participante para órgão ou entidade participante; ou</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 órgão ou entidade participante para órgão ou entidade não participante.</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tyjcwt" w:id="6"/>
      <w:bookmarkEnd w:id="6"/>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remanejamento de órgão ou entidade participante para órgão ou entidade não participante, serão observados os limites previstos no </w:t>
      </w:r>
      <w:sdt>
        <w:sdtPr>
          <w:tag w:val="goog_rdk_2"/>
        </w:sdtPr>
        <w:sdtContent>
          <w:commentRangeStart w:id="2"/>
        </w:sdtContent>
      </w:sdt>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art. 32 do Decreto nº 11.462, de 2023</w:t>
      </w:r>
      <w:commentRangeEnd w:id="2"/>
      <w:r w:rsidDel="00000000" w:rsidR="00000000" w:rsidRPr="00000000">
        <w:commentReference w:id="2"/>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7.3,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453" w:line="360" w:lineRule="auto"/>
        <w:ind w:left="1283"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0" w:right="0" w:firstLine="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CANCELAMENTO DO REGISTRO DO LICITANTE VENCEDOR E DOS PREÇOS REGISTRADOS</w:t>
      </w:r>
      <w:r w:rsidDel="00000000" w:rsidR="00000000" w:rsidRPr="00000000">
        <w:rPr>
          <w:rtl w:val="0"/>
        </w:rPr>
      </w:r>
    </w:p>
    <w:bookmarkStart w:colFirst="0" w:colLast="0" w:name="bookmark=id.3dy6vkm" w:id="7"/>
    <w:bookmarkEnd w:id="7"/>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registro do fornecedor será cancelado pelo gerenciador, quando o fornecedor:</w:t>
      </w:r>
      <w:bookmarkStart w:colFirst="0" w:colLast="0" w:name="bookmark=id.1t3h5sf" w:id="8"/>
      <w:bookmarkEnd w:id="8"/>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Descumprir as condições da ata de registro de preços, sem motivo justificado;</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Não aceitar manter seu preço registrado, na hipótese prevista no artigo 27, § 2º, do Decreto nº 11.462, de 2023; ou</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360" w:lineRule="auto"/>
        <w:ind w:left="567"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 cancelamento de registros nas hipóteses previstas no item 8.1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4d34og8" w:id="9"/>
      <w:bookmarkEnd w:id="9"/>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Por razão de interesse público;</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pedido do fornecedor, decorrente de caso fortuito ou força maior; ou</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113" w:before="453" w:line="360" w:lineRule="auto"/>
        <w:ind w:left="0" w:righ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120" w:line="360" w:lineRule="auto"/>
        <w:ind w:left="36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descumprimento da Ata de Registro de Preços ensejará aplicação das penalidades estabelecidas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no edital.</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360" w:lineRule="auto"/>
        <w:ind w:left="284"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As sanções também se aplicam aos integrantes do cadastro de reserva no registro de preços que, convocados, não honrarem o compromisso assumido </w:t>
      </w:r>
      <w:sdt>
        <w:sdtPr>
          <w:tag w:val="goog_rdk_3"/>
        </w:sdtPr>
        <w:sdtContent>
          <w:commentRangeStart w:id="3"/>
        </w:sdtContent>
      </w:sdt>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injustificadamente</w:t>
      </w:r>
      <w:commentRangeEnd w:id="3"/>
      <w:r w:rsidDel="00000000" w:rsidR="00000000" w:rsidRPr="00000000">
        <w:commentReference w:id="3"/>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 após terem assinado a ata. </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0"/>
          <w:i w:val="0"/>
          <w:smallCaps w:val="0"/>
          <w:strike w:val="0"/>
          <w:shd w:fill="auto" w:val="clear"/>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Ecofont_Spranq_eco_Sans" w:cs="Ecofont_Spranq_eco_Sans" w:eastAsia="Ecofont_Spranq_eco_Sans" w:hAnsi="Ecofont_Spranq_eco_Sans"/>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EA">
      <w:pPr>
        <w:numPr>
          <w:ilvl w:val="1"/>
          <w:numId w:val="2"/>
        </w:numPr>
        <w:spacing w:after="120" w:before="120" w:line="360" w:lineRule="auto"/>
        <w:ind w:left="1283" w:hanging="430.9999999999996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ANEXO AO EDITAL.</w:t>
      </w:r>
      <w:r w:rsidDel="00000000" w:rsidR="00000000" w:rsidRPr="00000000">
        <w:rPr>
          <w:rtl w:val="0"/>
        </w:rPr>
      </w:r>
    </w:p>
    <w:p w:rsidR="00000000" w:rsidDel="00000000" w:rsidP="00000000" w:rsidRDefault="00000000" w:rsidRPr="00000000" w14:paraId="000000EB">
      <w:pPr>
        <w:numPr>
          <w:ilvl w:val="1"/>
          <w:numId w:val="2"/>
        </w:numPr>
        <w:spacing w:after="120" w:before="120" w:line="360" w:lineRule="auto"/>
        <w:ind w:left="1283" w:hanging="430.99999999999966"/>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i w:val="0"/>
          <w:smallCaps w:val="0"/>
          <w:strike w:val="0"/>
          <w:sz w:val="20"/>
          <w:szCs w:val="20"/>
          <w:highlight w:val="white"/>
          <w:u w:val="none"/>
          <w:vertAlign w:val="baseline"/>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Para firmeza e validade do pactuado, a presente Ata foi lavrada em </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2 (duas) </w:t>
      </w: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vias de igual teor, que, depois de lida e achada em ordem, vai assinada digitalmente pelas partes</w:t>
      </w:r>
      <w:r w:rsidDel="00000000" w:rsidR="00000000" w:rsidRPr="00000000">
        <w:rPr>
          <w:rFonts w:ascii="Times New Roman" w:cs="Times New Roman" w:eastAsia="Times New Roman" w:hAnsi="Times New Roman"/>
          <w:i w:val="0"/>
          <w:smallCaps w:val="0"/>
          <w:strike w:val="0"/>
          <w:sz w:val="20"/>
          <w:szCs w:val="20"/>
          <w:highlight w:val="white"/>
          <w:u w:val="none"/>
          <w:vertAlign w:val="baseline"/>
          <w:rtl w:val="0"/>
        </w:rPr>
        <w:t xml:space="preserve"> e encaminhada cópia aos demais órgãos participantes (se houver). </w:t>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i w:val="0"/>
          <w:smallCaps w:val="0"/>
          <w:strike w:val="0"/>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spacing w:after="113" w:before="0" w:line="360" w:lineRule="auto"/>
        <w:ind w:left="45" w:right="0" w:firstLine="0"/>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Foz do Iguaçu, xx de xxxxx de 2023.</w:t>
      </w:r>
      <w:r w:rsidDel="00000000" w:rsidR="00000000" w:rsidRPr="00000000">
        <w:rPr>
          <w:rtl w:val="0"/>
        </w:rPr>
      </w:r>
    </w:p>
    <w:p w:rsidR="00000000" w:rsidDel="00000000" w:rsidP="00000000" w:rsidRDefault="00000000" w:rsidRPr="00000000" w14:paraId="000000F0">
      <w:pPr>
        <w:widowControl w:val="0"/>
        <w:spacing w:after="113" w:before="0" w:line="360" w:lineRule="auto"/>
        <w:ind w:left="0" w:right="-3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Assinaturas</w:t>
      </w:r>
      <w:r w:rsidDel="00000000" w:rsidR="00000000" w:rsidRPr="00000000">
        <w:rPr>
          <w:rtl w:val="0"/>
        </w:rPr>
      </w:r>
    </w:p>
    <w:p w:rsidR="00000000" w:rsidDel="00000000" w:rsidP="00000000" w:rsidRDefault="00000000" w:rsidRPr="00000000" w14:paraId="000000F1">
      <w:pPr>
        <w:widowControl w:val="0"/>
        <w:spacing w:after="113" w:before="0" w:line="360" w:lineRule="auto"/>
        <w:ind w:left="0" w:right="-3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Representante legal do órgão gerenciador e representante(s) legal(is) do(s) fornecedor(s) registrado(s)</w:t>
      </w:r>
      <w:r w:rsidDel="00000000" w:rsidR="00000000" w:rsidRPr="00000000">
        <w:rPr>
          <w:rtl w:val="0"/>
        </w:rPr>
      </w:r>
    </w:p>
    <w:sectPr>
      <w:headerReference r:id="rId10" w:type="default"/>
      <w:footerReference r:id="rId11" w:type="default"/>
      <w:pgSz w:h="16838" w:w="11906" w:orient="portrait"/>
      <w:pgMar w:bottom="1988" w:top="2961" w:left="1701" w:right="1701"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utor" w:id="3" w:date="2023-09-13T19:45:24Z">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5º A regra do § 4º não se aplicará aos licitantes remanescentes convocados na forma do inciso I do § 3º."</w:t>
      </w:r>
    </w:p>
  </w:comment>
  <w:comment w:author="Autor" w:id="2" w:date="2023-09-13T19:45:24Z">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Art. 32.  Serão observadas as seguintes regras de controle para a adesão à ata de registro de preços de que trata o art. 31:</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author="Autor" w:id="0" w:date="2023-09-13T19:45:24Z">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Restringindo-se o reequilíbrio a alguns itens fornecidos em circunstâncias específicas, a ata poderá prever preços distintos na forma do artigo 82, III, da Lei nº 14.133, de 2021.</w:t>
      </w:r>
    </w:p>
  </w:comment>
  <w:comment w:author="Autor" w:id="1" w:date="2023-09-13T19:45:24Z">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Nota Explicativa: O §3º do art. 28 do Decreto nº 11.462/2023, prevê: "§ 3º  Na hipótese de cancelamento do registro do fornecedor, o órgão ou a entidade gerenciadora poderá convocar os licitantes que compõem o cadastro de reserva, observada a ordem de classificação."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FD" w15:done="0"/>
  <w15:commentEx w15:paraId="00000100" w15:done="0"/>
  <w15:commentEx w15:paraId="00000101" w15:done="0"/>
  <w15:commentEx w15:paraId="0000010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Verdan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Roboto" w:cs="Roboto" w:eastAsia="Roboto" w:hAnsi="Roboto"/>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shd w:fill="auto" w:val="clear"/>
      <w:tabs>
        <w:tab w:val="center" w:leader="none" w:pos="4252"/>
        <w:tab w:val="right" w:leader="none" w:pos="8504"/>
      </w:tabs>
      <w:spacing w:after="0" w:before="0" w:line="240" w:lineRule="auto"/>
      <w:ind w:left="0" w:right="0" w:firstLine="0"/>
      <w:jc w:val="right"/>
      <w:rPr>
        <w:rFonts w:ascii="Arial" w:cs="Arial" w:eastAsia="Arial" w:hAnsi="Arial"/>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Processo Administrativo: </w:t>
    </w:r>
    <w:r w:rsidDel="00000000" w:rsidR="00000000" w:rsidRPr="00000000">
      <w:rPr>
        <w:rFonts w:ascii="Arial" w:cs="Arial" w:eastAsia="Arial" w:hAnsi="Arial"/>
        <w:sz w:val="18"/>
        <w:szCs w:val="18"/>
        <w:rtl w:val="0"/>
      </w:rPr>
      <w:t xml:space="preserve">23422.019194/2023-56</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tab/>
      <w:t xml:space="preserve">                                                          </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widowControl w:val="1"/>
      <w:shd w:fill="auto" w:val="clear"/>
      <w:spacing w:after="0" w:before="28" w:line="240" w:lineRule="auto"/>
      <w:ind w:left="0" w:right="0" w:firstLine="0"/>
      <w:jc w:val="center"/>
      <w:rPr>
        <w:rFonts w:ascii="Arial" w:cs="Arial" w:eastAsia="Arial" w:hAnsi="Arial"/>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shd w:fill="auto" w:val="clear"/>
      <w:spacing w:after="0" w:before="28" w:line="240" w:lineRule="auto"/>
      <w:ind w:left="0" w:right="0" w:firstLine="0"/>
      <w:jc w:val="center"/>
      <w:rPr>
        <w:rFonts w:ascii="Arial" w:cs="Arial" w:eastAsia="Arial" w:hAnsi="Arial"/>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ab/>
      <w:tab/>
      <w:t xml:space="preserve">Avenida Tancredo Neves, nº 3.147, Itaipu B, na cidade de Foz do Iguaçu, Estado do Paraná, </w:t>
    </w:r>
    <w:r w:rsidDel="00000000" w:rsidR="00000000" w:rsidRPr="00000000">
      <w:rPr>
        <w:rtl w:val="0"/>
      </w:rPr>
    </w:r>
  </w:p>
  <w:p w:rsidR="00000000" w:rsidDel="00000000" w:rsidP="00000000" w:rsidRDefault="00000000" w:rsidRPr="00000000" w14:paraId="000000FB">
    <w:pPr>
      <w:widowControl w:val="1"/>
      <w:shd w:fill="auto" w:val="clear"/>
      <w:spacing w:after="0" w:before="28" w:line="240" w:lineRule="auto"/>
      <w:ind w:left="0" w:right="0" w:firstLine="0"/>
      <w:jc w:val="center"/>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CEP 85.867-000 - Fone: (45) 35</w:t>
    </w:r>
    <w:r w:rsidDel="00000000" w:rsidR="00000000" w:rsidRPr="00000000">
      <w:rPr>
        <w:rFonts w:ascii="Arial" w:cs="Arial" w:eastAsia="Arial" w:hAnsi="Arial"/>
        <w:sz w:val="16"/>
        <w:szCs w:val="16"/>
        <w:rtl w:val="0"/>
      </w:rPr>
      <w:t xml:space="preserve">22</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-9743 -  </w:t>
    </w:r>
    <w:hyperlink r:id="rId1">
      <w:r w:rsidDel="00000000" w:rsidR="00000000" w:rsidRPr="00000000">
        <w:rPr>
          <w:rFonts w:ascii="Arial" w:cs="Arial" w:eastAsia="Arial" w:hAnsi="Arial"/>
          <w:i w:val="0"/>
          <w:smallCaps w:val="0"/>
          <w:strike w:val="0"/>
          <w:sz w:val="16"/>
          <w:szCs w:val="16"/>
          <w:u w:val="none"/>
          <w:shd w:fill="auto" w:val="clear"/>
          <w:vertAlign w:val="baseline"/>
          <w:rtl w:val="0"/>
        </w:rPr>
        <w:t xml:space="preserve">www.portal.unila.edu.br</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widowControl w:val="1"/>
      <w:shd w:fill="auto" w:val="clear"/>
      <w:tabs>
        <w:tab w:val="center" w:leader="none" w:pos="4252"/>
        <w:tab w:val="right" w:leader="none" w:pos="8504"/>
      </w:tabs>
      <w:spacing w:after="0" w:before="0" w:line="240" w:lineRule="auto"/>
      <w:ind w:left="0" w:right="0" w:firstLine="0"/>
      <w:jc w:val="center"/>
      <w:rPr>
        <w:rFonts w:ascii="Roboto" w:cs="Roboto" w:eastAsia="Roboto" w:hAnsi="Roboto"/>
        <w:i w:val="0"/>
        <w:smallCaps w:val="0"/>
        <w:strike w:val="0"/>
        <w:color w:val="000000"/>
        <w:sz w:val="24"/>
        <w:szCs w:val="24"/>
        <w:u w:val="none"/>
        <w:shd w:fill="auto" w:val="clear"/>
        <w:vertAlign w:val="baseline"/>
      </w:rPr>
    </w:pPr>
    <w:r w:rsidDel="00000000" w:rsidR="00000000" w:rsidRPr="00000000">
      <w:rPr/>
      <w:drawing>
        <wp:inline distB="0" distT="0" distL="0" distR="0">
          <wp:extent cx="644525" cy="6477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4525" cy="647700"/>
                  </a:xfrm>
                  <a:prstGeom prst="rect"/>
                  <a:ln/>
                </pic:spPr>
              </pic:pic>
            </a:graphicData>
          </a:graphic>
        </wp:inline>
      </w:drawing>
    </w:r>
    <w:r w:rsidDel="00000000" w:rsidR="00000000" w:rsidRPr="00000000">
      <w:rPr>
        <w:rtl w:val="0"/>
      </w:rPr>
    </w:r>
  </w:p>
  <w:p w:rsidR="00000000" w:rsidDel="00000000" w:rsidP="00000000" w:rsidRDefault="00000000" w:rsidRPr="00000000" w14:paraId="000000F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right" w:leader="none" w:pos="9360"/>
      </w:tabs>
      <w:spacing w:after="0" w:before="0" w:line="240" w:lineRule="auto"/>
      <w:ind w:left="576" w:right="0" w:hanging="576"/>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Ministério da Educação</w:t>
    </w:r>
    <w:r w:rsidDel="00000000" w:rsidR="00000000" w:rsidRPr="00000000">
      <w:rPr>
        <w:rtl w:val="0"/>
      </w:rPr>
    </w:r>
  </w:p>
  <w:p w:rsidR="00000000" w:rsidDel="00000000" w:rsidP="00000000" w:rsidRDefault="00000000" w:rsidRPr="00000000" w14:paraId="000000F4">
    <w:pPr>
      <w:tabs>
        <w:tab w:val="right" w:leader="none" w:pos="9360"/>
      </w:tabs>
      <w:jc w:val="center"/>
      <w:rPr>
        <w:rFonts w:ascii="Arial" w:cs="Arial" w:eastAsia="Arial" w:hAnsi="Arial"/>
      </w:rPr>
    </w:pPr>
    <w:r w:rsidDel="00000000" w:rsidR="00000000" w:rsidRPr="00000000">
      <w:rPr>
        <w:rFonts w:ascii="Arial" w:cs="Arial" w:eastAsia="Arial" w:hAnsi="Arial"/>
        <w:b w:val="1"/>
        <w:sz w:val="20"/>
        <w:szCs w:val="20"/>
        <w:rtl w:val="0"/>
      </w:rPr>
      <w:t xml:space="preserve">Universidade Federal da Integração Latino-Americana</w:t>
    </w:r>
    <w:r w:rsidDel="00000000" w:rsidR="00000000" w:rsidRPr="00000000">
      <w:rPr>
        <w:rtl w:val="0"/>
      </w:rPr>
    </w:r>
  </w:p>
  <w:p w:rsidR="00000000" w:rsidDel="00000000" w:rsidP="00000000" w:rsidRDefault="00000000" w:rsidRPr="00000000" w14:paraId="000000F5">
    <w:pPr>
      <w:tabs>
        <w:tab w:val="right" w:leader="none" w:pos="9360"/>
      </w:tabs>
      <w:jc w:val="center"/>
      <w:rPr>
        <w:rFonts w:ascii="Arial" w:cs="Arial" w:eastAsia="Arial" w:hAnsi="Arial"/>
      </w:rPr>
    </w:pPr>
    <w:r w:rsidDel="00000000" w:rsidR="00000000" w:rsidRPr="00000000">
      <w:rPr>
        <w:rFonts w:ascii="Arial" w:cs="Arial" w:eastAsia="Arial" w:hAnsi="Arial"/>
        <w:sz w:val="20"/>
        <w:szCs w:val="20"/>
        <w:rtl w:val="0"/>
      </w:rPr>
      <w:t xml:space="preserve">Pró-Reitoria de Administração, Gestão e Infraestrutura</w:t>
    </w:r>
    <w:r w:rsidDel="00000000" w:rsidR="00000000" w:rsidRPr="00000000">
      <w:rPr>
        <w:rtl w:val="0"/>
      </w:rPr>
    </w:r>
  </w:p>
  <w:p w:rsidR="00000000" w:rsidDel="00000000" w:rsidP="00000000" w:rsidRDefault="00000000" w:rsidRPr="00000000" w14:paraId="000000F6">
    <w:pPr>
      <w:numPr>
        <w:ilvl w:val="0"/>
        <w:numId w:val="3"/>
      </w:numPr>
      <w:tabs>
        <w:tab w:val="right" w:leader="none" w:pos="9360"/>
      </w:tabs>
      <w:ind w:left="432" w:hanging="432"/>
      <w:jc w:val="center"/>
      <w:rPr>
        <w:rFonts w:ascii="Arial" w:cs="Arial" w:eastAsia="Arial" w:hAnsi="Arial"/>
      </w:rPr>
    </w:pPr>
    <w:r w:rsidDel="00000000" w:rsidR="00000000" w:rsidRPr="00000000">
      <w:rPr>
        <w:rFonts w:ascii="Arial" w:cs="Arial" w:eastAsia="Arial" w:hAnsi="Arial"/>
        <w:color w:val="000000"/>
        <w:sz w:val="20"/>
        <w:szCs w:val="20"/>
        <w:rtl w:val="0"/>
      </w:rPr>
      <w:t xml:space="preserve">Coordenadoria de Compras, Contratos e Licitações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1"/>
      <w:numFmt w:val="decimal"/>
      <w:lvlText w:val="%1."/>
      <w:lvlJc w:val="left"/>
      <w:pPr>
        <w:ind w:left="360" w:hanging="360"/>
      </w:pPr>
      <w:rPr>
        <w:rFonts w:ascii="Arial" w:cs="Arial" w:eastAsia="Arial" w:hAnsi="Arial"/>
        <w:b w:val="1"/>
        <w:i w:val="0"/>
        <w:sz w:val="20"/>
        <w:szCs w:val="20"/>
      </w:rPr>
    </w:lvl>
    <w:lvl w:ilvl="1">
      <w:start w:val="1"/>
      <w:numFmt w:val="decimal"/>
      <w:lvlText w:val="%1.%2."/>
      <w:lvlJc w:val="left"/>
      <w:pPr>
        <w:ind w:left="1283" w:hanging="430.9999999999993"/>
      </w:pPr>
      <w:rPr>
        <w:rFonts w:ascii="Arial" w:cs="Arial" w:eastAsia="Arial" w:hAnsi="Arial"/>
        <w:b w:val="0"/>
        <w:i w:val="0"/>
        <w:sz w:val="20"/>
        <w:szCs w:val="20"/>
      </w:rPr>
    </w:lvl>
    <w:lvl w:ilvl="2">
      <w:start w:val="1"/>
      <w:numFmt w:val="decimal"/>
      <w:lvlText w:val="%1.%2.%3."/>
      <w:lvlJc w:val="left"/>
      <w:pPr>
        <w:ind w:left="1497" w:hanging="504.0000000000007"/>
      </w:pPr>
      <w:rPr>
        <w:b w:val="1"/>
        <w:i w:val="0"/>
        <w:sz w:val="20"/>
        <w:szCs w:val="2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6"/>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240" w:line="240" w:lineRule="auto"/>
      <w:ind w:left="432" w:hanging="432"/>
    </w:pPr>
    <w:rPr>
      <w:rFonts w:ascii="Times New Roman" w:cs="Times New Roman" w:eastAsia="Times New Roman" w:hAnsi="Times New Roman"/>
      <w:b w:val="1"/>
      <w:sz w:val="28"/>
      <w:szCs w:val="28"/>
    </w:rPr>
  </w:style>
  <w:style w:type="paragraph" w:styleId="Heading2">
    <w:name w:val="heading 2"/>
    <w:basedOn w:val="Normal"/>
    <w:next w:val="Normal"/>
    <w:pPr>
      <w:keepNext w:val="1"/>
      <w:ind w:left="576" w:hanging="576"/>
    </w:pPr>
    <w:rPr>
      <w:rFonts w:ascii="Verdana" w:cs="Verdana" w:eastAsia="Verdana" w:hAnsi="Verdana"/>
      <w:sz w:val="28"/>
      <w:szCs w:val="28"/>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keepLines w:val="1"/>
      <w:pageBreakBefore w:val="0"/>
      <w:spacing w:after="120" w:before="480" w:line="240" w:lineRule="auto"/>
    </w:pPr>
    <w:rPr>
      <w:b w:val="1"/>
      <w:sz w:val="72"/>
      <w:szCs w:val="72"/>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55.0" w:type="dxa"/>
        <w:left w:w="54.0" w:type="dxa"/>
        <w:bottom w:w="55.0" w:type="dxa"/>
        <w:right w:w="55.0" w:type="dxa"/>
      </w:tblCellMar>
    </w:tblPr>
  </w:style>
  <w:style w:type="table" w:styleId="Table2">
    <w:basedOn w:val="TableNormal"/>
    <w:tblPr>
      <w:tblStyleRowBandSize w:val="1"/>
      <w:tblStyleColBandSize w:val="1"/>
      <w:tblCellMar>
        <w:top w:w="55.0" w:type="dxa"/>
        <w:left w:w="54.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gov.br/agu/pt-br/composicao/cgu/cgu/modelos/licitacoesecontratos/14133/modelos-da-lei-no-14-133-21-para-pregao-e-concorrenci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unil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QymtdEDJOBECbFtaT0dna9KqoQ==">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PGJyPsKnIDXCuiBBIHJlZ3JhIGRvIMKnIDTCuiBuw6NvIHNlIGFwbGljYXLDoSBhb3MgbGljaXRhbnRlcyByZW1hbmVzY2VudGVzIGNvbnZvY2Fkb3MgbmEgZm9ybWEgZG8gaW5jaXNvIEkgZG8gwqcgM8K6LiZxdW90OyLHCAoKdGV4dC9wbGFpbhK4CE5vdGEgRXhwbGljYXRpdmE6IEEgc2Fuw6fDo28gc8OzIGNhYmUgc2UgbyByZW1hbmVzY2VudGUgasOhIGFzc2lub3UgYSBhdGEgZSBkZXBvaXMgbsOjbyBhdGVuZGUgY29udm9jYcOnw6NvIHBhcmEgZmlybWFyIGNvbnRyYXRvIG91IGluc3RydW1lbnRvIGVxdWl2YWxlbnRlOiAi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KwqcgNcK6IEEgcmVncmEgZG8gwqcgNMK6IG7Do28gc2UgYXBsaWNhcsOhIGFvcyBsaWNpdGFudGVzIHJlbWFuZXNjZW50ZXMgY29udm9jYWRvcyBuYSBmb3JtYSBkbyBpbmNpc28gSSBkbyDCpyAzwrouIio+CgVBdXRvcho1Ly9zc2wuZ3N0YXRpYy5jb20vZG9jcy9jb21tb24vYmx1ZV9zaWxob3VldHRlOTYtMC5wbmcw7ufOgKkxOO7nzoCpMXJACgVBdXRvcho3CjUvL3NzbC5nc3RhdGljLmNvbS9kb2NzL2NvbW1vbi9ibHVlX3NpbGhvdWV0dGU5Ni0wLnBuZ3gAiAEBmgEGCAAQABgAqgHIC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uwAQC4AQEY7ufOgKkxIO7nzoCpMTAAQghraXguY210MyLMFQoLQUFBQTV2Q1ZZdEUSohUKC0FBQUE1dkNWWXRFEgtBQUFBNXZDVll0R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O7nzoCpMTju586AqT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O7nzoCpMSDu586AqTEwAEIIa2l4LmNtdDIi8wYKC0FBQUE1dkNWWXRJEskGCgtBQUFBNXZDVll0SRILQUFBQTV2Q1ZZdEk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O3nzoCpMTjt586AqT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t586AqTEg7efOgKkxMABCCGtpeC5jbXQwIu4ICgtBQUFBNXZDVllzOBLECAoLQUFBQTV2Q1ZZczgSC0FBQUE1dkNWWXM4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O7nzoCpMTju586AqT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u586AqTEg7ufOgKkxMABCCGtpeC5jbXQxMglpZC5namRneHMyEGtpeC5ma3k4ZTJ4c2hkYWQyCmlkLjMwajB6bGwyCmlkLjFmb2I5dGUyCmlkLjN6bnlzaDcyCmlkLjJldDkycDAyCWlkLnR5amN3dDIKaWQuM2R5NnZrbTIKaWQuMXQzaDVzZjIKaWQuNGQzNG9nODgAciExV1lEaGM3R3BWdFdLS2g3cUxHV1FXRjBWX2ZIcGg0V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